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19D" w:rsidRDefault="006A607C">
      <w:pPr>
        <w:jc w:val="center"/>
        <w:rPr>
          <w:rFonts w:ascii="Book Antiqua" w:eastAsia="Book Antiqua" w:hAnsi="Book Antiqua" w:cs="Book Antiqua"/>
          <w:sz w:val="20"/>
          <w:szCs w:val="20"/>
        </w:rPr>
      </w:pPr>
      <w:r>
        <w:rPr>
          <w:rFonts w:ascii="Libre Baskerville" w:eastAsia="Libre Baskerville" w:hAnsi="Libre Baskerville" w:cs="Libre Baskerville"/>
          <w:sz w:val="20"/>
          <w:szCs w:val="20"/>
        </w:rPr>
        <w:t>PO</w:t>
      </w:r>
      <w:r>
        <w:rPr>
          <w:rFonts w:ascii="Libre Baskerville" w:eastAsia="Libre Baskerville" w:hAnsi="Libre Baskerville" w:cs="Libre Baskerville"/>
          <w:color w:val="000000"/>
          <w:sz w:val="20"/>
          <w:szCs w:val="20"/>
        </w:rPr>
        <w:t xml:space="preserve"> Box 2898, Palmer, Alaska 99645</w:t>
      </w:r>
      <w:r>
        <w:rPr>
          <w:noProof/>
        </w:rPr>
        <w:drawing>
          <wp:anchor distT="0" distB="0" distL="114300" distR="114300" simplePos="0" relativeHeight="251658240" behindDoc="0" locked="0" layoutInCell="1" hidden="0" allowOverlap="1">
            <wp:simplePos x="0" y="0"/>
            <wp:positionH relativeFrom="column">
              <wp:posOffset>219075</wp:posOffset>
            </wp:positionH>
            <wp:positionV relativeFrom="paragraph">
              <wp:posOffset>0</wp:posOffset>
            </wp:positionV>
            <wp:extent cx="6153150" cy="1452245"/>
            <wp:effectExtent l="0" t="0" r="0" b="0"/>
            <wp:wrapSquare wrapText="bothSides" distT="0" distB="0" distL="114300" distR="114300"/>
            <wp:docPr id="2" name="image3.png" descr="YRDFAlogo%20(1)"/>
            <wp:cNvGraphicFramePr/>
            <a:graphic xmlns:a="http://schemas.openxmlformats.org/drawingml/2006/main">
              <a:graphicData uri="http://schemas.openxmlformats.org/drawingml/2006/picture">
                <pic:pic xmlns:pic="http://schemas.openxmlformats.org/drawingml/2006/picture">
                  <pic:nvPicPr>
                    <pic:cNvPr id="0" name="image3.png" descr="YRDFAlogo%20(1)"/>
                    <pic:cNvPicPr preferRelativeResize="0"/>
                  </pic:nvPicPr>
                  <pic:blipFill>
                    <a:blip r:embed="rId6"/>
                    <a:srcRect/>
                    <a:stretch>
                      <a:fillRect/>
                    </a:stretch>
                  </pic:blipFill>
                  <pic:spPr>
                    <a:xfrm>
                      <a:off x="0" y="0"/>
                      <a:ext cx="6153150" cy="1452245"/>
                    </a:xfrm>
                    <a:prstGeom prst="rect">
                      <a:avLst/>
                    </a:prstGeom>
                    <a:ln/>
                  </pic:spPr>
                </pic:pic>
              </a:graphicData>
            </a:graphic>
          </wp:anchor>
        </w:drawing>
      </w:r>
    </w:p>
    <w:p w:rsidR="00C0319D" w:rsidRDefault="006A607C">
      <w:pPr>
        <w:jc w:val="center"/>
      </w:pPr>
      <w:r>
        <w:rPr>
          <w:rFonts w:ascii="Libre Baskerville" w:eastAsia="Libre Baskerville" w:hAnsi="Libre Baskerville" w:cs="Libre Baskerville"/>
          <w:color w:val="000000"/>
          <w:sz w:val="20"/>
          <w:szCs w:val="20"/>
        </w:rPr>
        <w:t>Tel: 907-272-3141 Toll free: 877-999-8566</w:t>
      </w:r>
    </w:p>
    <w:p w:rsidR="00C0319D" w:rsidRDefault="006A607C">
      <w:pPr>
        <w:jc w:val="center"/>
      </w:pPr>
      <w:r>
        <w:rPr>
          <w:rFonts w:ascii="Libre Baskerville" w:eastAsia="Libre Baskerville" w:hAnsi="Libre Baskerville" w:cs="Libre Baskerville"/>
          <w:color w:val="000000"/>
          <w:sz w:val="20"/>
          <w:szCs w:val="20"/>
        </w:rPr>
        <w:t xml:space="preserve">Fax: 907-272-3142 </w:t>
      </w:r>
      <w:r>
        <w:rPr>
          <w:rFonts w:ascii="Libre Baskerville" w:eastAsia="Libre Baskerville" w:hAnsi="Libre Baskerville" w:cs="Libre Baskerville"/>
          <w:sz w:val="20"/>
          <w:szCs w:val="20"/>
        </w:rPr>
        <w:t>Email</w:t>
      </w:r>
      <w:r>
        <w:rPr>
          <w:rFonts w:ascii="Libre Baskerville" w:eastAsia="Libre Baskerville" w:hAnsi="Libre Baskerville" w:cs="Libre Baskerville"/>
          <w:color w:val="000000"/>
          <w:sz w:val="20"/>
          <w:szCs w:val="20"/>
        </w:rPr>
        <w:t xml:space="preserve">: </w:t>
      </w:r>
      <w:hyperlink r:id="rId7">
        <w:r>
          <w:rPr>
            <w:rFonts w:ascii="Libre Baskerville" w:eastAsia="Libre Baskerville" w:hAnsi="Libre Baskerville" w:cs="Libre Baskerville"/>
            <w:color w:val="0000FF"/>
            <w:sz w:val="20"/>
            <w:szCs w:val="20"/>
            <w:u w:val="single"/>
          </w:rPr>
          <w:t>wayne@yukonsalmon.org</w:t>
        </w:r>
      </w:hyperlink>
      <w:r>
        <w:rPr>
          <w:rFonts w:ascii="Libre Baskerville" w:eastAsia="Libre Baskerville" w:hAnsi="Libre Baskerville" w:cs="Libre Baskerville"/>
          <w:color w:val="000000"/>
          <w:sz w:val="20"/>
          <w:szCs w:val="20"/>
        </w:rPr>
        <w:t xml:space="preserve"> </w:t>
      </w:r>
    </w:p>
    <w:p w:rsidR="00C0319D" w:rsidRDefault="00C0319D">
      <w:pPr>
        <w:jc w:val="center"/>
        <w:rPr>
          <w:b/>
        </w:rPr>
      </w:pPr>
    </w:p>
    <w:p w:rsidR="00C0319D" w:rsidRDefault="00C0319D">
      <w:pPr>
        <w:pStyle w:val="Title"/>
      </w:pPr>
    </w:p>
    <w:p w:rsidR="00C0319D" w:rsidRDefault="006A607C">
      <w:pPr>
        <w:pStyle w:val="Title"/>
      </w:pPr>
      <w:r>
        <w:t>Resolution:  2019-06</w:t>
      </w:r>
    </w:p>
    <w:p w:rsidR="00C0319D" w:rsidRDefault="006A607C">
      <w:pPr>
        <w:pStyle w:val="Title"/>
      </w:pPr>
      <w:r>
        <w:t xml:space="preserve">Opposition to Large-scale Salmon Hatcheries </w:t>
      </w:r>
      <w:r>
        <w:t>on the Yukon River</w:t>
      </w:r>
    </w:p>
    <w:p w:rsidR="00C0319D" w:rsidRDefault="00C0319D">
      <w:pPr>
        <w:pStyle w:val="Title"/>
        <w:jc w:val="left"/>
        <w:rPr>
          <w:b w:val="0"/>
        </w:rPr>
      </w:pPr>
    </w:p>
    <w:p w:rsidR="00C0319D" w:rsidRDefault="006A607C">
      <w:pPr>
        <w:pStyle w:val="Title"/>
        <w:jc w:val="left"/>
        <w:rPr>
          <w:b w:val="0"/>
        </w:rPr>
      </w:pPr>
      <w:r>
        <w:t>WHEREAS,</w:t>
      </w:r>
      <w:r>
        <w:rPr>
          <w:b w:val="0"/>
        </w:rPr>
        <w:t xml:space="preserve"> the Yukon River Drainage Fisheries Association (YRDFA) works on behalf of subsistence and commercial fishing families within the Alaskan and Canadian Yukon River drainage who depend on wild salmon for subsistence and commercial</w:t>
      </w:r>
      <w:r>
        <w:rPr>
          <w:b w:val="0"/>
        </w:rPr>
        <w:t xml:space="preserve"> fisheries; and</w:t>
      </w:r>
    </w:p>
    <w:p w:rsidR="00C0319D" w:rsidRDefault="006A607C">
      <w:pPr>
        <w:pStyle w:val="Title"/>
        <w:tabs>
          <w:tab w:val="left" w:pos="7673"/>
        </w:tabs>
        <w:jc w:val="left"/>
        <w:rPr>
          <w:b w:val="0"/>
        </w:rPr>
      </w:pPr>
      <w:r>
        <w:rPr>
          <w:b w:val="0"/>
        </w:rPr>
        <w:tab/>
      </w:r>
    </w:p>
    <w:p w:rsidR="00C0319D" w:rsidRDefault="006A607C">
      <w:pPr>
        <w:pStyle w:val="Title"/>
        <w:jc w:val="left"/>
        <w:rPr>
          <w:b w:val="0"/>
        </w:rPr>
      </w:pPr>
      <w:r>
        <w:t>WHEREAS,</w:t>
      </w:r>
      <w:r>
        <w:rPr>
          <w:b w:val="0"/>
        </w:rPr>
        <w:t xml:space="preserve"> Alaska’s hatcheries released over </w:t>
      </w:r>
      <w:r>
        <w:rPr>
          <w:b w:val="0"/>
          <w:highlight w:val="white"/>
        </w:rPr>
        <w:t>1.8 billion salmon in 2018;</w:t>
      </w:r>
      <w:r>
        <w:rPr>
          <w:b w:val="0"/>
        </w:rPr>
        <w:t xml:space="preserve"> and</w:t>
      </w:r>
    </w:p>
    <w:p w:rsidR="00C0319D" w:rsidRDefault="00C0319D">
      <w:pPr>
        <w:pStyle w:val="Title"/>
        <w:jc w:val="left"/>
        <w:rPr>
          <w:b w:val="0"/>
        </w:rPr>
      </w:pPr>
    </w:p>
    <w:p w:rsidR="00C0319D" w:rsidRDefault="006A607C">
      <w:pPr>
        <w:pStyle w:val="Title"/>
        <w:jc w:val="left"/>
        <w:rPr>
          <w:b w:val="0"/>
        </w:rPr>
      </w:pPr>
      <w:r>
        <w:t>WHEREAS</w:t>
      </w:r>
      <w:r>
        <w:rPr>
          <w:b w:val="0"/>
        </w:rPr>
        <w:t xml:space="preserve"> total hatchery releases internationally including Alaska into the North Pacific are over 5 billion salmon annually; and</w:t>
      </w:r>
    </w:p>
    <w:p w:rsidR="00C0319D" w:rsidRDefault="00C0319D">
      <w:pPr>
        <w:pStyle w:val="Title"/>
        <w:jc w:val="left"/>
        <w:rPr>
          <w:b w:val="0"/>
        </w:rPr>
      </w:pPr>
    </w:p>
    <w:p w:rsidR="00C0319D" w:rsidRDefault="006A607C">
      <w:pPr>
        <w:pStyle w:val="Title"/>
        <w:jc w:val="left"/>
        <w:rPr>
          <w:b w:val="0"/>
        </w:rPr>
      </w:pPr>
      <w:r>
        <w:t>WHEREAS</w:t>
      </w:r>
      <w:r>
        <w:rPr>
          <w:b w:val="0"/>
        </w:rPr>
        <w:t>; these salmon intermingle</w:t>
      </w:r>
      <w:r>
        <w:rPr>
          <w:b w:val="0"/>
        </w:rPr>
        <w:t xml:space="preserve"> in the North Pacific and compete with wild salmon and other species populations for food; and</w:t>
      </w:r>
    </w:p>
    <w:p w:rsidR="00C0319D" w:rsidRDefault="00C0319D">
      <w:pPr>
        <w:pStyle w:val="Title"/>
        <w:jc w:val="left"/>
      </w:pPr>
    </w:p>
    <w:p w:rsidR="00C0319D" w:rsidRDefault="006A607C">
      <w:pPr>
        <w:pStyle w:val="Title"/>
        <w:jc w:val="left"/>
        <w:rPr>
          <w:b w:val="0"/>
        </w:rPr>
      </w:pPr>
      <w:r>
        <w:t>WHEREAS</w:t>
      </w:r>
      <w:r>
        <w:rPr>
          <w:b w:val="0"/>
        </w:rPr>
        <w:t>; the large number of hatchery fish in the ocean can limit the growth of wild stocks, particularly when ocean conditions are not productive for salmon; a</w:t>
      </w:r>
      <w:r>
        <w:rPr>
          <w:b w:val="0"/>
        </w:rPr>
        <w:t>nd</w:t>
      </w:r>
    </w:p>
    <w:p w:rsidR="00C0319D" w:rsidRDefault="00C0319D">
      <w:pPr>
        <w:pStyle w:val="Title"/>
        <w:jc w:val="left"/>
        <w:rPr>
          <w:b w:val="0"/>
        </w:rPr>
      </w:pPr>
    </w:p>
    <w:p w:rsidR="00C0319D" w:rsidRDefault="006A607C">
      <w:pPr>
        <w:pStyle w:val="Title"/>
        <w:jc w:val="left"/>
        <w:rPr>
          <w:b w:val="0"/>
        </w:rPr>
      </w:pPr>
      <w:r>
        <w:t>WHEREAS</w:t>
      </w:r>
      <w:r>
        <w:rPr>
          <w:b w:val="0"/>
        </w:rPr>
        <w:t>; the Alaska Board of Fisheries and the Alaska Department of Fish and Game have developed a Joint Protocol on Salmon Enhancement #2002-FB-215 and these increases in hatchery production have been in violation of the Joint Protocol on Salmon Enhan</w:t>
      </w:r>
      <w:r>
        <w:rPr>
          <w:b w:val="0"/>
        </w:rPr>
        <w:t>cement;</w:t>
      </w:r>
    </w:p>
    <w:p w:rsidR="00C0319D" w:rsidRDefault="00C0319D">
      <w:pPr>
        <w:pStyle w:val="Title"/>
        <w:jc w:val="left"/>
        <w:rPr>
          <w:b w:val="0"/>
        </w:rPr>
      </w:pPr>
    </w:p>
    <w:p w:rsidR="00C0319D" w:rsidRDefault="006A607C">
      <w:pPr>
        <w:pStyle w:val="Title"/>
        <w:jc w:val="left"/>
        <w:rPr>
          <w:b w:val="0"/>
          <w:highlight w:val="white"/>
        </w:rPr>
      </w:pPr>
      <w:r>
        <w:rPr>
          <w:highlight w:val="white"/>
        </w:rPr>
        <w:t>WHEREAS;</w:t>
      </w:r>
      <w:r>
        <w:rPr>
          <w:b w:val="0"/>
          <w:highlight w:val="white"/>
        </w:rPr>
        <w:t xml:space="preserve"> the 1998 Yukon River Comprehensive Salmon Plan (CSP) strongly opposed any large scale hatcheries on the Yukon River (Guiding Principle #6), preferring that conservative management and restoration in times of low abundance be the managemen</w:t>
      </w:r>
      <w:r>
        <w:rPr>
          <w:b w:val="0"/>
          <w:highlight w:val="white"/>
        </w:rPr>
        <w:t xml:space="preserve">t approach rather than enhancement. </w:t>
      </w:r>
    </w:p>
    <w:p w:rsidR="00C0319D" w:rsidRDefault="00C0319D">
      <w:pPr>
        <w:pStyle w:val="Title"/>
        <w:jc w:val="left"/>
        <w:rPr>
          <w:color w:val="FF0000"/>
          <w:highlight w:val="white"/>
        </w:rPr>
      </w:pPr>
    </w:p>
    <w:p w:rsidR="00C0319D" w:rsidRDefault="006A607C">
      <w:pPr>
        <w:pStyle w:val="Title"/>
        <w:jc w:val="left"/>
        <w:rPr>
          <w:b w:val="0"/>
        </w:rPr>
      </w:pPr>
      <w:r>
        <w:t>THEREFORE, BE IT RESOLVED</w:t>
      </w:r>
      <w:r>
        <w:rPr>
          <w:b w:val="0"/>
        </w:rPr>
        <w:t xml:space="preserve"> that YRDFA supports setting specific limits on hatchery production within Alaska and internationally, and specifically opposes large scale hatcheries on the Yukon River. Also that hatcheries f</w:t>
      </w:r>
      <w:r>
        <w:rPr>
          <w:b w:val="0"/>
        </w:rPr>
        <w:t>ollow the Joint Protocol that has been previously established.</w:t>
      </w:r>
    </w:p>
    <w:p w:rsidR="00C0319D" w:rsidRDefault="00C0319D">
      <w:pPr>
        <w:pStyle w:val="Title"/>
        <w:jc w:val="left"/>
        <w:rPr>
          <w:b w:val="0"/>
        </w:rPr>
      </w:pPr>
    </w:p>
    <w:p w:rsidR="00C0319D" w:rsidRDefault="006A607C">
      <w:pPr>
        <w:pStyle w:val="Title"/>
        <w:jc w:val="left"/>
        <w:rPr>
          <w:b w:val="0"/>
        </w:rPr>
      </w:pPr>
      <w:r>
        <w:t>COPIES</w:t>
      </w:r>
      <w:r>
        <w:rPr>
          <w:b w:val="0"/>
        </w:rPr>
        <w:t xml:space="preserve"> of this resolution will be sent to the Bering Sea Fishermen’s Association, Alaska Department of Fish and Game, the Alaska Board of Fisheries, and Alaska Governor’s Office.</w:t>
      </w:r>
    </w:p>
    <w:p w:rsidR="00C0319D" w:rsidRDefault="00C0319D">
      <w:pPr>
        <w:pStyle w:val="Title"/>
        <w:jc w:val="left"/>
        <w:rPr>
          <w:b w:val="0"/>
        </w:rPr>
      </w:pPr>
    </w:p>
    <w:p w:rsidR="00C0319D" w:rsidRDefault="006A607C">
      <w:pPr>
        <w:pStyle w:val="Title"/>
        <w:jc w:val="left"/>
      </w:pPr>
      <w:bookmarkStart w:id="0" w:name="30j0zll" w:colFirst="0" w:colLast="0"/>
      <w:bookmarkStart w:id="1" w:name="gjdgxs" w:colFirst="0" w:colLast="0"/>
      <w:bookmarkEnd w:id="0"/>
      <w:bookmarkEnd w:id="1"/>
      <w:r>
        <w:t xml:space="preserve">APPROVED </w:t>
      </w:r>
      <w:r>
        <w:rPr>
          <w:b w:val="0"/>
        </w:rPr>
        <w:t>unanimously this 24</w:t>
      </w:r>
      <w:r>
        <w:rPr>
          <w:b w:val="0"/>
          <w:vertAlign w:val="superscript"/>
        </w:rPr>
        <w:t>th</w:t>
      </w:r>
      <w:r>
        <w:rPr>
          <w:b w:val="0"/>
        </w:rPr>
        <w:t xml:space="preserve"> day of April 2019 by the Board members and delegates of YRDFA assembled at their Twenty-ninth Annual meeting held in Fairbanks, Alaska.</w:t>
      </w:r>
    </w:p>
    <w:p w:rsidR="00C0319D" w:rsidRPr="00954F1B" w:rsidRDefault="00954F1B">
      <w:pPr>
        <w:pStyle w:val="Title"/>
        <w:jc w:val="left"/>
      </w:pPr>
      <w:r w:rsidRPr="00954F1B">
        <w:lastRenderedPageBreak/>
        <w:t>Attest:</w:t>
      </w:r>
      <w:bookmarkStart w:id="2" w:name="_GoBack"/>
      <w:bookmarkEnd w:id="2"/>
    </w:p>
    <w:p w:rsidR="00C0319D" w:rsidRDefault="006A607C">
      <w:pPr>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                                                                        </w:t>
      </w:r>
    </w:p>
    <w:p w:rsidR="00C0319D" w:rsidRDefault="006A607C">
      <w:pPr>
        <w:spacing w:after="24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w:t>
      </w:r>
      <w:r>
        <w:rPr>
          <w:rFonts w:ascii="Libre Baskerville" w:eastAsia="Libre Baskerville" w:hAnsi="Libre Baskerville" w:cs="Libre Baskerville"/>
          <w:noProof/>
          <w:sz w:val="28"/>
          <w:szCs w:val="28"/>
        </w:rPr>
        <w:drawing>
          <wp:inline distT="114300" distB="114300" distL="114300" distR="114300">
            <wp:extent cx="2028825" cy="58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28825" cy="581025"/>
                    </a:xfrm>
                    <a:prstGeom prst="rect">
                      <a:avLst/>
                    </a:prstGeom>
                    <a:ln/>
                  </pic:spPr>
                </pic:pic>
              </a:graphicData>
            </a:graphic>
          </wp:inline>
        </w:drawing>
      </w:r>
      <w:r>
        <w:rPr>
          <w:rFonts w:ascii="Libre Baskerville" w:eastAsia="Libre Baskerville" w:hAnsi="Libre Baskerville" w:cs="Libre Baskerville"/>
          <w:sz w:val="28"/>
          <w:szCs w:val="28"/>
        </w:rPr>
        <w:t xml:space="preserve">        </w:t>
      </w:r>
      <w:r>
        <w:rPr>
          <w:rFonts w:ascii="Libre Baskerville" w:eastAsia="Libre Baskerville" w:hAnsi="Libre Baskerville" w:cs="Libre Baskerville"/>
          <w:noProof/>
          <w:sz w:val="26"/>
          <w:szCs w:val="26"/>
        </w:rPr>
        <w:drawing>
          <wp:inline distT="114300" distB="114300" distL="114300" distR="114300">
            <wp:extent cx="2618422" cy="4286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18422" cy="428625"/>
                    </a:xfrm>
                    <a:prstGeom prst="rect">
                      <a:avLst/>
                    </a:prstGeom>
                    <a:ln/>
                  </pic:spPr>
                </pic:pic>
              </a:graphicData>
            </a:graphic>
          </wp:inline>
        </w:drawing>
      </w:r>
      <w:r>
        <w:rPr>
          <w:rFonts w:ascii="Libre Baskerville" w:eastAsia="Libre Baskerville" w:hAnsi="Libre Baskerville" w:cs="Libre Baskerville"/>
          <w:sz w:val="28"/>
          <w:szCs w:val="28"/>
        </w:rPr>
        <w:tab/>
      </w:r>
      <w:r>
        <w:rPr>
          <w:rFonts w:ascii="Libre Baskerville" w:eastAsia="Libre Baskerville" w:hAnsi="Libre Baskerville" w:cs="Libre Baskerville"/>
          <w:sz w:val="28"/>
          <w:szCs w:val="28"/>
        </w:rPr>
        <w:t xml:space="preserve">                      </w:t>
      </w:r>
    </w:p>
    <w:p w:rsidR="00C0319D" w:rsidRPr="00954F1B" w:rsidRDefault="006A607C" w:rsidP="00954F1B">
      <w:pPr>
        <w:pStyle w:val="Heading7"/>
        <w:rPr>
          <w:rFonts w:ascii="Times New Roman" w:eastAsia="Libre Baskerville" w:hAnsi="Times New Roman" w:cs="Times New Roman"/>
          <w:i w:val="0"/>
        </w:rPr>
      </w:pPr>
      <w:r w:rsidRPr="00954F1B">
        <w:rPr>
          <w:rFonts w:ascii="Times New Roman" w:eastAsia="Libre Baskerville" w:hAnsi="Times New Roman" w:cs="Times New Roman"/>
          <w:i w:val="0"/>
        </w:rPr>
        <w:t xml:space="preserve">YRDFA Co-Chair/Y-2, Seat 1         </w:t>
      </w:r>
      <w:r w:rsidRPr="00954F1B">
        <w:rPr>
          <w:rFonts w:ascii="Times New Roman" w:eastAsia="Libre Baskerville" w:hAnsi="Times New Roman" w:cs="Times New Roman"/>
          <w:i w:val="0"/>
        </w:rPr>
        <w:tab/>
        <w:t xml:space="preserve">   YRDFA Co-Chair/Y-6, Seat 2    </w:t>
      </w:r>
      <w:r w:rsidRPr="00954F1B">
        <w:rPr>
          <w:rFonts w:ascii="Times New Roman" w:eastAsia="Libre Baskerville" w:hAnsi="Times New Roman" w:cs="Times New Roman"/>
          <w:i w:val="0"/>
        </w:rPr>
        <w:tab/>
      </w:r>
    </w:p>
    <w:p w:rsidR="00C0319D" w:rsidRPr="00954F1B" w:rsidRDefault="006A607C" w:rsidP="00954F1B">
      <w:pPr>
        <w:pStyle w:val="Heading7"/>
        <w:rPr>
          <w:rFonts w:ascii="Times New Roman" w:eastAsia="Libre Baskerville" w:hAnsi="Times New Roman" w:cs="Times New Roman"/>
          <w:i w:val="0"/>
        </w:rPr>
      </w:pPr>
      <w:r w:rsidRPr="00954F1B">
        <w:rPr>
          <w:rFonts w:ascii="Times New Roman" w:eastAsia="Libre Baskerville" w:hAnsi="Times New Roman" w:cs="Times New Roman"/>
          <w:i w:val="0"/>
        </w:rPr>
        <w:t>William Alstrom/Saint Mary’s             Victor Lord/Nenana</w:t>
      </w:r>
    </w:p>
    <w:p w:rsidR="00C0319D" w:rsidRDefault="006A607C">
      <w:pPr>
        <w:spacing w:before="240" w:after="200" w:line="276" w:lineRule="auto"/>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 </w:t>
      </w:r>
    </w:p>
    <w:p w:rsidR="00C0319D" w:rsidRDefault="006A607C">
      <w:pPr>
        <w:spacing w:before="240" w:after="24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                                                                    </w:t>
      </w:r>
    </w:p>
    <w:p w:rsidR="00C0319D" w:rsidRDefault="006A607C">
      <w:pPr>
        <w:spacing w:before="240" w:after="240"/>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 </w:t>
      </w:r>
    </w:p>
    <w:p w:rsidR="00C0319D" w:rsidRDefault="00C0319D">
      <w:pPr>
        <w:rPr>
          <w:rFonts w:ascii="Libre Baskerville" w:eastAsia="Libre Baskerville" w:hAnsi="Libre Baskerville" w:cs="Libre Baskerville"/>
          <w:sz w:val="26"/>
          <w:szCs w:val="26"/>
        </w:rPr>
      </w:pPr>
    </w:p>
    <w:sectPr w:rsidR="00C0319D">
      <w:headerReference w:type="even" r:id="rId10"/>
      <w:headerReference w:type="default" r:id="rId11"/>
      <w:headerReference w:type="first" r:id="rId12"/>
      <w:pgSz w:w="12240" w:h="15840"/>
      <w:pgMar w:top="1440" w:right="1296"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7C" w:rsidRDefault="006A607C">
      <w:r>
        <w:separator/>
      </w:r>
    </w:p>
  </w:endnote>
  <w:endnote w:type="continuationSeparator" w:id="0">
    <w:p w:rsidR="006A607C" w:rsidRDefault="006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ibre Baskervill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7C" w:rsidRDefault="006A607C">
      <w:r>
        <w:separator/>
      </w:r>
    </w:p>
  </w:footnote>
  <w:footnote w:type="continuationSeparator" w:id="0">
    <w:p w:rsidR="006A607C" w:rsidRDefault="006A60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9D" w:rsidRDefault="00C0319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9D" w:rsidRDefault="00C0319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9D" w:rsidRDefault="00C0319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9D"/>
    <w:rsid w:val="006A607C"/>
    <w:rsid w:val="00954F1B"/>
    <w:rsid w:val="00C0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0BF3"/>
  <w15:docId w15:val="{5948B1ED-01AA-4F72-A32A-22FC330A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54F1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7Char">
    <w:name w:val="Heading 7 Char"/>
    <w:basedOn w:val="DefaultParagraphFont"/>
    <w:link w:val="Heading7"/>
    <w:uiPriority w:val="9"/>
    <w:rsid w:val="00954F1B"/>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ayne@yukonsalmo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Richell Carmichael</dc:creator>
  <cp:lastModifiedBy>Richell Carmichael</cp:lastModifiedBy>
  <cp:revision>2</cp:revision>
  <dcterms:created xsi:type="dcterms:W3CDTF">2019-11-07T18:10:00Z</dcterms:created>
  <dcterms:modified xsi:type="dcterms:W3CDTF">2019-11-07T18:10:00Z</dcterms:modified>
</cp:coreProperties>
</file>